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312"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t>Anexa nr. 1</w:t>
      </w:r>
    </w:p>
    <w:p>
      <w:pPr>
        <w:pStyle w:val="Normal"/>
        <w:widowControl w:val="false"/>
        <w:spacing w:lineRule="auto" w:line="312"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r>
    </w:p>
    <w:p>
      <w:pPr>
        <w:pStyle w:val="Normal"/>
        <w:widowControl w:val="false"/>
        <w:spacing w:lineRule="auto" w:line="312" w:before="0" w:after="0"/>
        <w:ind w:left="176" w:right="104" w:hanging="34"/>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DECLARAȚIE</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PE</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PROPRIA</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RĂSPUNDERE PRIVIND VENITURILE NETE, CU CARACTER PERMANENT, SUPUSE IMPOZITULUI PE VENIT</w:t>
      </w:r>
    </w:p>
    <w:p>
      <w:pPr>
        <w:pStyle w:val="Normal"/>
        <w:widowControl w:val="false"/>
        <w:spacing w:lineRule="auto" w:line="312" w:before="0" w:after="0"/>
        <w:ind w:left="176" w:right="104" w:hanging="34"/>
        <w:jc w:val="center"/>
        <w:rPr>
          <w:rFonts w:ascii="Times New Roman" w:hAnsi="Times New Roman" w:eastAsia="Times New Roman" w:cs="Times New Roman"/>
          <w:b/>
          <w:b/>
          <w:bCs/>
          <w:sz w:val="20"/>
          <w:szCs w:val="20"/>
        </w:rPr>
      </w:pPr>
      <w:r>
        <w:rPr>
          <w:rFonts w:eastAsia="Times New Roman" w:cs="Times New Roman" w:ascii="Times New Roman" w:hAnsi="Times New Roman"/>
          <w:b/>
          <w:bCs/>
          <w:sz w:val="20"/>
          <w:szCs w:val="20"/>
        </w:rPr>
      </w:r>
    </w:p>
    <w:p>
      <w:pPr>
        <w:pStyle w:val="Normal"/>
        <w:widowControl w:val="false"/>
        <w:tabs>
          <w:tab w:val="clear" w:pos="720"/>
          <w:tab w:val="left" w:pos="4578" w:leader="none"/>
          <w:tab w:val="left" w:pos="4982" w:leader="none"/>
          <w:tab w:val="left" w:pos="10104" w:leader="none"/>
          <w:tab w:val="left" w:pos="10164" w:leader="none"/>
        </w:tabs>
        <w:spacing w:lineRule="auto" w:line="360" w:before="189" w:after="0"/>
        <w:ind w:right="141" w:hanging="0"/>
        <w:jc w:val="both"/>
        <w:rPr>
          <w:rFonts w:ascii="Times New Roman" w:hAnsi="Times New Roman" w:eastAsia="Times New Roman" w:cs="Times New Roman"/>
          <w:spacing w:val="-10"/>
        </w:rPr>
      </w:pPr>
      <w:r>
        <w:rPr>
          <w:rFonts w:eastAsia="Times New Roman" w:cs="Times New Roman" w:ascii="Times New Roman" w:hAnsi="Times New Roman" w:asciiTheme="majorBidi" w:cstheme="majorBidi" w:hAnsiTheme="majorBidi"/>
        </w:rPr>
        <w:t xml:space="preserve">Subsemnatul(a) ______________________________________, legitimat(ă) cu CI seria </w:t>
      </w:r>
      <w:r>
        <w:rPr>
          <w:rFonts w:eastAsia="Times New Roman" w:cs="Times New Roman" w:ascii="Times New Roman" w:hAnsi="Times New Roman" w:asciiTheme="majorBidi" w:cstheme="majorBidi" w:hAnsiTheme="majorBidi"/>
          <w:spacing w:val="80"/>
        </w:rPr>
        <w:t>__</w:t>
      </w:r>
      <w:r>
        <w:rPr>
          <w:rFonts w:eastAsia="Times New Roman" w:cs="Times New Roman" w:ascii="Times New Roman" w:hAnsi="Times New Roman" w:asciiTheme="majorBidi" w:cstheme="majorBidi" w:hAnsiTheme="majorBidi"/>
        </w:rPr>
        <w:t>nr.___________,</w:t>
      </w:r>
      <w:r>
        <w:rPr>
          <w:rFonts w:eastAsia="Times New Roman" w:cs="Times New Roman" w:ascii="Times New Roman" w:hAnsi="Times New Roman" w:asciiTheme="majorBidi" w:cstheme="majorBidi" w:hAnsiTheme="majorBidi"/>
          <w:spacing w:val="40"/>
        </w:rPr>
        <w:t xml:space="preserve"> </w:t>
      </w:r>
      <w:r>
        <w:rPr>
          <w:rFonts w:eastAsia="Times New Roman" w:cs="Times New Roman" w:ascii="Times New Roman" w:hAnsi="Times New Roman" w:asciiTheme="majorBidi" w:cstheme="majorBidi" w:hAnsiTheme="majorBidi"/>
        </w:rPr>
        <w:t xml:space="preserve">CNP </w:t>
      </w:r>
      <w:r>
        <w:rPr>
          <w:rFonts w:eastAsia="Times New Roman" w:cs="Times New Roman" w:ascii="Times New Roman" w:hAnsi="Times New Roman" w:asciiTheme="majorBidi" w:cstheme="majorBidi" w:hAnsiTheme="majorBidi"/>
          <w:u w:val="single"/>
        </w:rPr>
        <w:tab/>
        <w:t xml:space="preserve"> </w:t>
      </w:r>
      <w:r>
        <w:rPr>
          <w:rFonts w:eastAsia="Calibri" w:cs="Times New Roman" w:ascii="Times New Roman" w:hAnsi="Times New Roman" w:asciiTheme="majorBidi" w:cstheme="majorBidi" w:hAnsiTheme="majorBidi"/>
        </w:rPr>
        <w:t xml:space="preserve">student/ studentă al/a Universității din București, în cadrul Facultății de </w:t>
      </w:r>
      <w:r>
        <w:rPr>
          <w:rFonts w:eastAsia="Calibri" w:cs="Times New Roman" w:ascii="Times New Roman" w:hAnsi="Times New Roman" w:asciiTheme="majorBidi" w:cstheme="majorBidi" w:hAnsiTheme="majorBidi"/>
        </w:rPr>
        <w:t>Fizică</w:t>
      </w:r>
      <w:r>
        <w:rPr>
          <w:rFonts w:eastAsia="Calibri" w:cs="Times New Roman" w:ascii="Times New Roman" w:hAnsi="Times New Roman" w:asciiTheme="majorBidi" w:cstheme="majorBidi" w:hAnsiTheme="majorBidi"/>
        </w:rPr>
        <w:t>, ciclul de studii ___________, programul de studii/specializarea ______________________________________, forma de</w:t>
      </w:r>
      <w:r>
        <w:rPr>
          <w:rFonts w:eastAsia="Calibri"/>
        </w:rPr>
        <w:t xml:space="preserve"> învățământ _____________,</w:t>
      </w:r>
      <w:r>
        <w:rPr>
          <w:rFonts w:eastAsia="Times New Roman" w:cs="Times New Roman" w:ascii="Times New Roman" w:hAnsi="Times New Roman"/>
        </w:rPr>
        <w:t xml:space="preserve"> domiciliat în localitatea_______________________________</w:t>
      </w:r>
      <w:r>
        <w:rPr>
          <w:rFonts w:eastAsia="Times New Roman" w:cs="Times New Roman" w:ascii="Times New Roman" w:hAnsi="Times New Roman"/>
          <w:u w:val="single"/>
        </w:rPr>
        <w:t>,</w:t>
      </w:r>
      <w:r>
        <w:rPr>
          <w:rFonts w:eastAsia="Times New Roman" w:cs="Times New Roman" w:ascii="Times New Roman" w:hAnsi="Times New Roman"/>
          <w:spacing w:val="-10"/>
        </w:rPr>
        <w:t xml:space="preserve">  </w:t>
      </w:r>
      <w:r>
        <w:rPr>
          <w:rFonts w:eastAsia="Times New Roman" w:cs="Times New Roman" w:ascii="Times New Roman" w:hAnsi="Times New Roman"/>
        </w:rPr>
        <w:t xml:space="preserve">strad,_________________ nr. </w:t>
      </w:r>
      <w:r>
        <w:rPr>
          <w:rFonts w:eastAsia="Times New Roman" w:cs="Times New Roman" w:ascii="Times New Roman" w:hAnsi="Times New Roman"/>
          <w:spacing w:val="80"/>
          <w:u w:val="single"/>
        </w:rPr>
        <w:t xml:space="preserve"> </w:t>
      </w:r>
      <w:r>
        <w:rPr>
          <w:rFonts w:eastAsia="Times New Roman" w:cs="Times New Roman" w:ascii="Times New Roman" w:hAnsi="Times New Roman"/>
        </w:rPr>
        <w:t xml:space="preserve">, ap. </w:t>
      </w:r>
      <w:r>
        <w:rPr>
          <w:rFonts w:eastAsia="Times New Roman" w:cs="Times New Roman" w:ascii="Times New Roman" w:hAnsi="Times New Roman"/>
          <w:spacing w:val="80"/>
          <w:u w:val="single"/>
        </w:rPr>
        <w:t xml:space="preserve"> </w:t>
      </w:r>
      <w:r>
        <w:rPr>
          <w:rFonts w:eastAsia="Times New Roman" w:cs="Times New Roman" w:ascii="Times New Roman" w:hAnsi="Times New Roman"/>
        </w:rPr>
        <w:t>, jud. _____________________</w:t>
      </w:r>
      <w:r>
        <w:rPr>
          <w:rFonts w:eastAsia="Times New Roman" w:cs="Times New Roman" w:ascii="Times New Roman" w:hAnsi="Times New Roman"/>
          <w:spacing w:val="-10"/>
        </w:rPr>
        <w:t xml:space="preserve">, </w:t>
      </w:r>
    </w:p>
    <w:p>
      <w:pPr>
        <w:pStyle w:val="Normal"/>
        <w:widowControl w:val="false"/>
        <w:tabs>
          <w:tab w:val="clear" w:pos="720"/>
          <w:tab w:val="left" w:pos="4578" w:leader="none"/>
          <w:tab w:val="left" w:pos="4982" w:leader="none"/>
          <w:tab w:val="left" w:pos="10104" w:leader="none"/>
          <w:tab w:val="left" w:pos="10164" w:leader="none"/>
        </w:tabs>
        <w:spacing w:lineRule="auto" w:line="240" w:before="189" w:after="0"/>
        <w:ind w:right="142" w:hanging="0"/>
        <w:jc w:val="both"/>
        <w:rPr>
          <w:rFonts w:ascii="Times New Roman" w:hAnsi="Times New Roman" w:eastAsia="Times New Roman" w:cs="Times New Roman"/>
        </w:rPr>
      </w:pPr>
      <w:r>
        <w:rPr>
          <w:rFonts w:eastAsia="Times New Roman" w:cs="Times New Roman" w:ascii="Times New Roman" w:hAnsi="Times New Roman"/>
        </w:rPr>
        <w:t>Prin</w:t>
      </w:r>
      <w:r>
        <w:rPr>
          <w:rFonts w:eastAsia="Times New Roman" w:cs="Times New Roman" w:ascii="Times New Roman" w:hAnsi="Times New Roman"/>
          <w:spacing w:val="11"/>
        </w:rPr>
        <w:t xml:space="preserve"> </w:t>
      </w:r>
      <w:r>
        <w:rPr>
          <w:rFonts w:eastAsia="Times New Roman" w:cs="Times New Roman" w:ascii="Times New Roman" w:hAnsi="Times New Roman"/>
        </w:rPr>
        <w:t>prezenta</w:t>
      </w:r>
      <w:r>
        <w:rPr>
          <w:rFonts w:eastAsia="Times New Roman" w:cs="Times New Roman" w:ascii="Times New Roman" w:hAnsi="Times New Roman"/>
          <w:spacing w:val="11"/>
        </w:rPr>
        <w:t xml:space="preserve"> </w:t>
      </w:r>
      <w:r>
        <w:rPr>
          <w:rFonts w:eastAsia="Times New Roman" w:cs="Times New Roman" w:ascii="Times New Roman" w:hAnsi="Times New Roman"/>
          <w:b/>
        </w:rPr>
        <w:t>DECLAR</w:t>
      </w:r>
      <w:r>
        <w:rPr>
          <w:rFonts w:eastAsia="Times New Roman" w:cs="Times New Roman" w:ascii="Times New Roman" w:hAnsi="Times New Roman"/>
          <w:b/>
          <w:spacing w:val="11"/>
        </w:rPr>
        <w:t xml:space="preserve"> </w:t>
      </w:r>
      <w:r>
        <w:rPr>
          <w:rFonts w:eastAsia="Times New Roman" w:cs="Times New Roman" w:ascii="Times New Roman" w:hAnsi="Times New Roman"/>
          <w:b/>
        </w:rPr>
        <w:t>PE</w:t>
      </w:r>
      <w:r>
        <w:rPr>
          <w:rFonts w:eastAsia="Times New Roman" w:cs="Times New Roman" w:ascii="Times New Roman" w:hAnsi="Times New Roman"/>
          <w:b/>
          <w:spacing w:val="12"/>
        </w:rPr>
        <w:t xml:space="preserve"> </w:t>
      </w:r>
      <w:r>
        <w:rPr>
          <w:rFonts w:eastAsia="Times New Roman" w:cs="Times New Roman" w:ascii="Times New Roman" w:hAnsi="Times New Roman"/>
          <w:b/>
        </w:rPr>
        <w:t>PROPRIA</w:t>
      </w:r>
      <w:r>
        <w:rPr>
          <w:rFonts w:eastAsia="Times New Roman" w:cs="Times New Roman" w:ascii="Times New Roman" w:hAnsi="Times New Roman"/>
          <w:b/>
          <w:spacing w:val="11"/>
        </w:rPr>
        <w:t xml:space="preserve"> </w:t>
      </w:r>
      <w:r>
        <w:rPr>
          <w:rFonts w:eastAsia="Times New Roman" w:cs="Times New Roman" w:ascii="Times New Roman" w:hAnsi="Times New Roman"/>
          <w:b/>
        </w:rPr>
        <w:t>RĂSPUNDERE,</w:t>
      </w:r>
      <w:r>
        <w:rPr>
          <w:rFonts w:eastAsia="Times New Roman" w:cs="Times New Roman" w:ascii="Times New Roman" w:hAnsi="Times New Roman"/>
          <w:b/>
          <w:spacing w:val="11"/>
        </w:rPr>
        <w:t xml:space="preserve"> în conformitate cu dispozițiile art. 12 din </w:t>
      </w:r>
      <w:r>
        <w:rPr>
          <w:rFonts w:eastAsia="Times New Roman" w:cs="Times New Roman" w:ascii="Times New Roman" w:hAnsi="Times New Roman"/>
          <w:b/>
        </w:rPr>
        <w:t>Ordinul ME</w:t>
      </w:r>
      <w:r>
        <w:rPr>
          <w:rFonts w:eastAsia="Times New Roman" w:cs="Times New Roman" w:ascii="Times New Roman" w:hAnsi="Times New Roman"/>
          <w:b/>
          <w:spacing w:val="12"/>
        </w:rPr>
        <w:t xml:space="preserve"> </w:t>
      </w:r>
      <w:r>
        <w:rPr>
          <w:rFonts w:eastAsia="Times New Roman" w:cs="Times New Roman" w:ascii="Times New Roman" w:hAnsi="Times New Roman"/>
          <w:b/>
        </w:rPr>
        <w:t>nr.</w:t>
      </w:r>
      <w:r>
        <w:rPr>
          <w:rFonts w:eastAsia="Times New Roman" w:cs="Times New Roman" w:ascii="Times New Roman" w:hAnsi="Times New Roman"/>
          <w:b/>
          <w:spacing w:val="11"/>
        </w:rPr>
        <w:t xml:space="preserve"> </w:t>
      </w:r>
      <w:r>
        <w:rPr>
          <w:rFonts w:eastAsia="Times New Roman" w:cs="Times New Roman" w:ascii="Times New Roman" w:hAnsi="Times New Roman"/>
          <w:b/>
        </w:rPr>
        <w:t xml:space="preserve">6463/2023, potrivit căruia: </w:t>
      </w:r>
      <w:r>
        <w:rPr>
          <w:rFonts w:eastAsia="Times New Roman" w:cs="Times New Roman" w:ascii="Times New Roman" w:hAnsi="Times New Roman"/>
          <w:bCs/>
        </w:rPr>
        <w:t>,,</w:t>
      </w:r>
      <w:r>
        <w:rPr>
          <w:rFonts w:eastAsia="Times New Roman" w:cs="Times New Roman" w:ascii="Times New Roman" w:hAnsi="Times New Roman"/>
          <w:i/>
          <w:iCs/>
        </w:rPr>
        <w:t>veniturile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nete,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cu</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caracter</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 xml:space="preserve">permanent, </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supuse impozitului pe venit,</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obținute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pe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ultimele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12</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luni de familia mea</w:t>
      </w:r>
      <w:r>
        <w:rPr>
          <w:rFonts w:eastAsia="Times New Roman" w:cs="Times New Roman" w:ascii="Times New Roman" w:hAnsi="Times New Roman"/>
        </w:rPr>
        <w:t>”, sunt următoarele:</w:t>
      </w:r>
    </w:p>
    <w:p>
      <w:pPr>
        <w:pStyle w:val="Normal"/>
        <w:widowControl w:val="false"/>
        <w:tabs>
          <w:tab w:val="clear" w:pos="720"/>
          <w:tab w:val="left" w:pos="4578" w:leader="none"/>
          <w:tab w:val="left" w:pos="4982" w:leader="none"/>
          <w:tab w:val="left" w:pos="10104" w:leader="none"/>
          <w:tab w:val="left" w:pos="10164" w:leader="none"/>
        </w:tabs>
        <w:spacing w:lineRule="auto" w:line="240" w:before="189" w:after="0"/>
        <w:ind w:right="142" w:hanging="0"/>
        <w:jc w:val="both"/>
        <w:rPr>
          <w:rFonts w:ascii="Times New Roman" w:hAnsi="Times New Roman" w:eastAsia="Times New Roman" w:cs="Times New Roman"/>
        </w:rPr>
      </w:pPr>
      <w:r>
        <w:rPr>
          <w:rFonts w:eastAsia="Times New Roman" w:cs="Times New Roman" w:ascii="Times New Roman" w:hAnsi="Times New Roman"/>
        </w:rPr>
      </w:r>
    </w:p>
    <w:tbl>
      <w:tblPr>
        <w:tblStyle w:val="TableNormal1"/>
        <w:tblW w:w="9854" w:type="dxa"/>
        <w:jc w:val="left"/>
        <w:tblInd w:w="215" w:type="dxa"/>
        <w:tblLayout w:type="fixed"/>
        <w:tblCellMar>
          <w:top w:w="0" w:type="dxa"/>
          <w:left w:w="5" w:type="dxa"/>
          <w:bottom w:w="0" w:type="dxa"/>
          <w:right w:w="5" w:type="dxa"/>
        </w:tblCellMar>
        <w:tblLook w:val="01e0" w:noHBand="0" w:noVBand="0" w:firstColumn="1" w:lastRow="1" w:lastColumn="1" w:firstRow="1"/>
      </w:tblPr>
      <w:tblGrid>
        <w:gridCol w:w="675"/>
        <w:gridCol w:w="3404"/>
        <w:gridCol w:w="1416"/>
        <w:gridCol w:w="1272"/>
        <w:gridCol w:w="1705"/>
        <w:gridCol w:w="1381"/>
      </w:tblGrid>
      <w:tr>
        <w:trPr>
          <w:trHeight w:val="277" w:hRule="atLeast"/>
        </w:trPr>
        <w:tc>
          <w:tcPr>
            <w:tcW w:w="9853"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58" w:before="0" w:after="0"/>
              <w:ind w:left="1138" w:hanging="0"/>
              <w:jc w:val="left"/>
              <w:rPr>
                <w:rFonts w:ascii="Times New Roman" w:hAnsi="Times New Roman" w:eastAsia="Times New Roman" w:cs="Times New Roman"/>
                <w:b/>
                <w:b/>
                <w:sz w:val="24"/>
              </w:rPr>
            </w:pPr>
            <w:r>
              <w:rPr>
                <w:rFonts w:eastAsia="Times New Roman" w:cs="Times New Roman" w:ascii="Times New Roman" w:hAnsi="Times New Roman"/>
                <w:b/>
                <w:kern w:val="0"/>
                <w:sz w:val="24"/>
                <w:szCs w:val="22"/>
                <w:lang w:eastAsia="en-US" w:bidi="ar-SA"/>
              </w:rPr>
              <w:t>Venitul</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net</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al</w:t>
            </w:r>
            <w:r>
              <w:rPr>
                <w:rFonts w:eastAsia="Times New Roman" w:cs="Times New Roman" w:ascii="Times New Roman" w:hAnsi="Times New Roman"/>
                <w:b/>
                <w:spacing w:val="-4"/>
                <w:kern w:val="0"/>
                <w:sz w:val="24"/>
                <w:szCs w:val="22"/>
                <w:lang w:eastAsia="en-US" w:bidi="ar-SA"/>
              </w:rPr>
              <w:t xml:space="preserve"> </w:t>
            </w:r>
            <w:r>
              <w:rPr>
                <w:rFonts w:eastAsia="Times New Roman" w:cs="Times New Roman" w:ascii="Times New Roman" w:hAnsi="Times New Roman"/>
                <w:b/>
                <w:kern w:val="0"/>
                <w:sz w:val="24"/>
                <w:szCs w:val="22"/>
                <w:lang w:eastAsia="en-US" w:bidi="ar-SA"/>
              </w:rPr>
              <w:t>familiei</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din</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ultimele</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12</w:t>
            </w:r>
            <w:r>
              <w:rPr>
                <w:rFonts w:eastAsia="Times New Roman" w:cs="Times New Roman" w:ascii="Times New Roman" w:hAnsi="Times New Roman"/>
                <w:b/>
                <w:spacing w:val="-2"/>
                <w:kern w:val="0"/>
                <w:sz w:val="24"/>
                <w:szCs w:val="22"/>
                <w:lang w:eastAsia="en-US" w:bidi="ar-SA"/>
              </w:rPr>
              <w:t xml:space="preserve"> </w:t>
            </w:r>
            <w:r>
              <w:rPr>
                <w:rFonts w:eastAsia="Times New Roman" w:cs="Times New Roman" w:ascii="Times New Roman" w:hAnsi="Times New Roman"/>
                <w:b/>
                <w:kern w:val="0"/>
                <w:sz w:val="24"/>
                <w:szCs w:val="22"/>
                <w:lang w:eastAsia="en-US" w:bidi="ar-SA"/>
              </w:rPr>
              <w:t>luni</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(octombrie</w:t>
            </w:r>
            <w:r>
              <w:rPr>
                <w:rFonts w:eastAsia="Times New Roman" w:cs="Times New Roman" w:ascii="Times New Roman" w:hAnsi="Times New Roman"/>
                <w:b/>
                <w:spacing w:val="-2"/>
                <w:kern w:val="0"/>
                <w:sz w:val="24"/>
                <w:szCs w:val="22"/>
                <w:lang w:eastAsia="en-US" w:bidi="ar-SA"/>
              </w:rPr>
              <w:t xml:space="preserve"> </w:t>
            </w:r>
            <w:r>
              <w:rPr>
                <w:rFonts w:eastAsia="Times New Roman" w:cs="Times New Roman" w:ascii="Times New Roman" w:hAnsi="Times New Roman"/>
                <w:b/>
                <w:kern w:val="0"/>
                <w:sz w:val="24"/>
                <w:szCs w:val="22"/>
                <w:lang w:eastAsia="en-US" w:bidi="ar-SA"/>
              </w:rPr>
              <w:t>2025</w:t>
            </w:r>
            <w:r>
              <w:rPr>
                <w:rFonts w:eastAsia="Times New Roman" w:cs="Times New Roman" w:ascii="Times New Roman" w:hAnsi="Times New Roman"/>
                <w:b/>
                <w:spacing w:val="-1"/>
                <w:kern w:val="0"/>
                <w:sz w:val="24"/>
                <w:szCs w:val="22"/>
                <w:lang w:eastAsia="en-US" w:bidi="ar-SA"/>
              </w:rPr>
              <w:t xml:space="preserve"> </w:t>
            </w:r>
            <w:r>
              <w:rPr>
                <w:rFonts w:eastAsia="Times New Roman" w:cs="Times New Roman" w:ascii="Times New Roman" w:hAnsi="Times New Roman"/>
                <w:b/>
                <w:kern w:val="0"/>
                <w:sz w:val="24"/>
                <w:szCs w:val="22"/>
                <w:lang w:eastAsia="en-US" w:bidi="ar-SA"/>
              </w:rPr>
              <w:t>–</w:t>
            </w:r>
            <w:r>
              <w:rPr>
                <w:rFonts w:eastAsia="Times New Roman" w:cs="Times New Roman" w:ascii="Times New Roman" w:hAnsi="Times New Roman"/>
                <w:b/>
                <w:spacing w:val="-1"/>
                <w:kern w:val="0"/>
                <w:sz w:val="24"/>
                <w:szCs w:val="22"/>
                <w:lang w:eastAsia="en-US" w:bidi="ar-SA"/>
              </w:rPr>
              <w:t xml:space="preserve"> </w:t>
            </w:r>
            <w:r>
              <w:rPr>
                <w:rFonts w:eastAsia="Times New Roman" w:cs="Times New Roman" w:ascii="Times New Roman" w:hAnsi="Times New Roman"/>
                <w:b/>
                <w:kern w:val="0"/>
                <w:sz w:val="24"/>
                <w:szCs w:val="22"/>
                <w:lang w:eastAsia="en-US" w:bidi="ar-SA"/>
              </w:rPr>
              <w:t>septembrie</w:t>
            </w:r>
            <w:r>
              <w:rPr>
                <w:rFonts w:eastAsia="Times New Roman" w:cs="Times New Roman" w:ascii="Times New Roman" w:hAnsi="Times New Roman"/>
                <w:b/>
                <w:spacing w:val="-2"/>
                <w:kern w:val="0"/>
                <w:sz w:val="24"/>
                <w:szCs w:val="22"/>
                <w:lang w:eastAsia="en-US" w:bidi="ar-SA"/>
              </w:rPr>
              <w:t xml:space="preserve"> 2026</w:t>
            </w:r>
            <w:bookmarkStart w:id="0" w:name="_GoBack"/>
            <w:bookmarkEnd w:id="0"/>
            <w:r>
              <w:rPr>
                <w:rFonts w:eastAsia="Times New Roman" w:cs="Times New Roman" w:ascii="Times New Roman" w:hAnsi="Times New Roman"/>
                <w:b/>
                <w:spacing w:val="-2"/>
                <w:kern w:val="0"/>
                <w:sz w:val="24"/>
                <w:szCs w:val="22"/>
                <w:lang w:eastAsia="en-US" w:bidi="ar-SA"/>
              </w:rPr>
              <w:t>)</w:t>
            </w:r>
          </w:p>
        </w:tc>
      </w:tr>
      <w:tr>
        <w:trPr>
          <w:trHeight w:val="455"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0" w:before="0" w:after="0"/>
              <w:ind w:left="208" w:hanging="0"/>
              <w:jc w:val="left"/>
              <w:rPr>
                <w:rFonts w:ascii="Times New Roman" w:hAnsi="Times New Roman" w:eastAsia="Times New Roman" w:cs="Times New Roman"/>
                <w:b/>
                <w:b/>
                <w:sz w:val="20"/>
              </w:rPr>
            </w:pPr>
            <w:r>
              <w:rPr>
                <w:rFonts w:eastAsia="Times New Roman" w:cs="Times New Roman" w:ascii="Times New Roman" w:hAnsi="Times New Roman"/>
                <w:b/>
                <w:spacing w:val="-5"/>
                <w:kern w:val="0"/>
                <w:sz w:val="20"/>
                <w:szCs w:val="22"/>
                <w:lang w:eastAsia="en-US" w:bidi="ar-SA"/>
              </w:rPr>
              <w:t>nr.</w:t>
            </w:r>
          </w:p>
          <w:p>
            <w:pPr>
              <w:pStyle w:val="Normal"/>
              <w:widowControl w:val="false"/>
              <w:suppressAutoHyphens w:val="true"/>
              <w:spacing w:lineRule="exact" w:line="216" w:before="0" w:after="0"/>
              <w:ind w:left="203" w:hanging="0"/>
              <w:jc w:val="left"/>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crt.</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112" w:after="0"/>
              <w:ind w:left="94" w:hanging="0"/>
              <w:jc w:val="left"/>
              <w:rPr>
                <w:rFonts w:ascii="Times New Roman" w:hAnsi="Times New Roman" w:eastAsia="Times New Roman" w:cs="Times New Roman"/>
                <w:b/>
                <w:b/>
                <w:sz w:val="20"/>
              </w:rPr>
            </w:pPr>
            <w:r>
              <w:rPr>
                <w:rFonts w:eastAsia="Times New Roman" w:cs="Times New Roman" w:ascii="Times New Roman" w:hAnsi="Times New Roman"/>
                <w:b/>
                <w:kern w:val="0"/>
                <w:sz w:val="20"/>
                <w:szCs w:val="22"/>
                <w:lang w:eastAsia="en-US" w:bidi="ar-SA"/>
              </w:rPr>
              <w:t>Categorii de venituri cu caracter permanent, supuse impozitului pe venit, conform art.61 din Codul fiscal</w:t>
            </w:r>
          </w:p>
          <w:p>
            <w:pPr>
              <w:pStyle w:val="Normal"/>
              <w:widowControl w:val="false"/>
              <w:suppressAutoHyphens w:val="true"/>
              <w:spacing w:lineRule="auto" w:line="240" w:before="112" w:after="0"/>
              <w:ind w:left="572" w:hanging="0"/>
              <w:jc w:val="left"/>
              <w:rPr>
                <w:rFonts w:ascii="Times New Roman" w:hAnsi="Times New Roman" w:eastAsia="Times New Roman" w:cs="Times New Roman"/>
                <w:b/>
                <w:b/>
                <w:sz w:val="20"/>
              </w:rPr>
            </w:pPr>
            <w:r>
              <w:rPr>
                <w:rFonts w:eastAsia="Times New Roman" w:cs="Times New Roman" w:ascii="Times New Roman" w:hAnsi="Times New Roman"/>
                <w:b/>
                <w:sz w:val="20"/>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112" w:after="0"/>
              <w:ind w:right="45" w:hanging="0"/>
              <w:jc w:val="center"/>
              <w:rPr>
                <w:rFonts w:ascii="Times New Roman" w:hAnsi="Times New Roman" w:eastAsia="Times New Roman" w:cs="Times New Roman"/>
                <w:b/>
                <w:b/>
                <w:spacing w:val="-4"/>
                <w:sz w:val="20"/>
              </w:rPr>
            </w:pPr>
            <w:r>
              <w:rPr>
                <w:rFonts w:eastAsia="Times New Roman" w:cs="Times New Roman" w:ascii="Times New Roman" w:hAnsi="Times New Roman"/>
                <w:b/>
                <w:spacing w:val="-4"/>
                <w:kern w:val="0"/>
                <w:sz w:val="20"/>
                <w:szCs w:val="22"/>
                <w:lang w:eastAsia="en-US" w:bidi="ar-SA"/>
              </w:rPr>
              <w:t>Membru de familie</w:t>
            </w:r>
          </w:p>
          <w:p>
            <w:pPr>
              <w:pStyle w:val="Normal"/>
              <w:widowControl w:val="false"/>
              <w:suppressAutoHyphens w:val="true"/>
              <w:spacing w:lineRule="auto" w:line="240" w:before="112" w:after="0"/>
              <w:ind w:right="45" w:hanging="0"/>
              <w:jc w:val="center"/>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TATA</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112" w:after="0"/>
              <w:jc w:val="center"/>
              <w:rPr>
                <w:rFonts w:ascii="Times New Roman" w:hAnsi="Times New Roman" w:eastAsia="Times New Roman" w:cs="Times New Roman"/>
                <w:b/>
                <w:b/>
                <w:spacing w:val="-4"/>
                <w:sz w:val="20"/>
              </w:rPr>
            </w:pPr>
            <w:r>
              <w:rPr>
                <w:rFonts w:eastAsia="Times New Roman" w:cs="Times New Roman" w:ascii="Times New Roman" w:hAnsi="Times New Roman"/>
                <w:b/>
                <w:spacing w:val="-4"/>
                <w:kern w:val="0"/>
                <w:sz w:val="20"/>
                <w:szCs w:val="22"/>
                <w:lang w:eastAsia="en-US" w:bidi="ar-SA"/>
              </w:rPr>
              <w:t>Membru de familie</w:t>
            </w:r>
          </w:p>
          <w:p>
            <w:pPr>
              <w:pStyle w:val="Normal"/>
              <w:widowControl w:val="false"/>
              <w:suppressAutoHyphens w:val="true"/>
              <w:spacing w:lineRule="auto" w:line="240" w:before="112" w:after="0"/>
              <w:jc w:val="center"/>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MAMA</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6" w:before="0" w:after="0"/>
              <w:ind w:left="527" w:hanging="334"/>
              <w:jc w:val="left"/>
              <w:rPr>
                <w:rFonts w:ascii="Times New Roman" w:hAnsi="Times New Roman" w:eastAsia="Times New Roman" w:cs="Times New Roman"/>
                <w:b/>
                <w:b/>
                <w:sz w:val="20"/>
              </w:rPr>
            </w:pPr>
            <w:r>
              <w:rPr>
                <w:rFonts w:eastAsia="Times New Roman" w:cs="Times New Roman" w:ascii="Times New Roman" w:hAnsi="Times New Roman"/>
                <w:b/>
                <w:kern w:val="0"/>
                <w:sz w:val="20"/>
                <w:szCs w:val="22"/>
                <w:lang w:eastAsia="en-US" w:bidi="ar-SA"/>
              </w:rPr>
              <w:t>Alți</w:t>
            </w:r>
            <w:r>
              <w:rPr>
                <w:rFonts w:eastAsia="Times New Roman" w:cs="Times New Roman" w:ascii="Times New Roman" w:hAnsi="Times New Roman"/>
                <w:b/>
                <w:spacing w:val="-13"/>
                <w:kern w:val="0"/>
                <w:sz w:val="20"/>
                <w:szCs w:val="22"/>
                <w:lang w:eastAsia="en-US" w:bidi="ar-SA"/>
              </w:rPr>
              <w:t xml:space="preserve"> </w:t>
            </w:r>
            <w:r>
              <w:rPr>
                <w:rFonts w:eastAsia="Times New Roman" w:cs="Times New Roman" w:ascii="Times New Roman" w:hAnsi="Times New Roman"/>
                <w:b/>
                <w:kern w:val="0"/>
                <w:sz w:val="20"/>
                <w:szCs w:val="22"/>
                <w:lang w:eastAsia="en-US" w:bidi="ar-SA"/>
              </w:rPr>
              <w:t>membri</w:t>
            </w:r>
            <w:r>
              <w:rPr>
                <w:rFonts w:eastAsia="Times New Roman" w:cs="Times New Roman" w:ascii="Times New Roman" w:hAnsi="Times New Roman"/>
                <w:b/>
                <w:spacing w:val="-12"/>
                <w:kern w:val="0"/>
                <w:sz w:val="20"/>
                <w:szCs w:val="22"/>
                <w:lang w:eastAsia="en-US" w:bidi="ar-SA"/>
              </w:rPr>
              <w:t xml:space="preserve"> </w:t>
            </w:r>
            <w:r>
              <w:rPr>
                <w:rFonts w:eastAsia="Times New Roman" w:cs="Times New Roman" w:ascii="Times New Roman" w:hAnsi="Times New Roman"/>
                <w:b/>
                <w:kern w:val="0"/>
                <w:sz w:val="20"/>
                <w:szCs w:val="22"/>
                <w:lang w:eastAsia="en-US" w:bidi="ar-SA"/>
              </w:rPr>
              <w:t xml:space="preserve">ai </w:t>
            </w:r>
            <w:r>
              <w:rPr>
                <w:rFonts w:eastAsia="Times New Roman" w:cs="Times New Roman" w:ascii="Times New Roman" w:hAnsi="Times New Roman"/>
                <w:b/>
                <w:spacing w:val="-2"/>
                <w:kern w:val="0"/>
                <w:sz w:val="20"/>
                <w:szCs w:val="22"/>
                <w:lang w:eastAsia="en-US" w:bidi="ar-SA"/>
              </w:rPr>
              <w:t>familiei</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112" w:after="0"/>
              <w:ind w:left="340" w:hanging="0"/>
              <w:jc w:val="left"/>
              <w:rPr>
                <w:rFonts w:ascii="Times New Roman" w:hAnsi="Times New Roman" w:eastAsia="Times New Roman" w:cs="Times New Roman"/>
                <w:b/>
                <w:b/>
                <w:sz w:val="20"/>
              </w:rPr>
            </w:pPr>
            <w:r>
              <w:rPr>
                <w:rFonts w:eastAsia="Times New Roman" w:cs="Times New Roman" w:ascii="Times New Roman" w:hAnsi="Times New Roman"/>
                <w:b/>
                <w:spacing w:val="-2"/>
                <w:kern w:val="0"/>
                <w:sz w:val="20"/>
                <w:szCs w:val="22"/>
                <w:lang w:eastAsia="en-US" w:bidi="ar-SA"/>
              </w:rPr>
              <w:t>TOTAL</w:t>
            </w:r>
          </w:p>
        </w:tc>
      </w:tr>
      <w:tr>
        <w:trPr>
          <w:trHeight w:val="277"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1</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112" w:hanging="0"/>
              <w:jc w:val="both"/>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salarii şi asimilate salariilor</w:t>
            </w:r>
            <w:r>
              <w:rPr>
                <w:rStyle w:val="EndnoteAnchor"/>
                <w:rFonts w:eastAsia="Times New Roman" w:cs="Times New Roman" w:ascii="Times New Roman" w:hAnsi="Times New Roman"/>
                <w:kern w:val="0"/>
                <w:sz w:val="20"/>
                <w:szCs w:val="22"/>
                <w:vertAlign w:val="superscript"/>
                <w:lang w:eastAsia="en-US" w:bidi="ar-SA"/>
              </w:rPr>
              <w:endnoteReference w:id="2"/>
            </w:r>
            <w:r>
              <w:rPr>
                <w:rFonts w:eastAsia="Times New Roman" w:cs="Times New Roman" w:ascii="Times New Roman" w:hAnsi="Times New Roman"/>
                <w:kern w:val="0"/>
                <w:sz w:val="20"/>
                <w:szCs w:val="22"/>
                <w:lang w:eastAsia="en-US" w:bidi="ar-SA"/>
              </w:rPr>
              <w:t>, definite conform art. 76</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3"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2</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activităţi independente</w:t>
            </w:r>
            <w:r>
              <w:rPr>
                <w:rStyle w:val="EndnoteAnchor"/>
                <w:rFonts w:eastAsia="Times New Roman" w:cs="Times New Roman" w:ascii="Times New Roman" w:hAnsi="Times New Roman"/>
                <w:kern w:val="0"/>
                <w:sz w:val="20"/>
                <w:szCs w:val="22"/>
                <w:vertAlign w:val="superscript"/>
                <w:lang w:eastAsia="en-US" w:bidi="ar-SA"/>
              </w:rPr>
              <w:endnoteReference w:id="3"/>
            </w:r>
            <w:r>
              <w:rPr>
                <w:rFonts w:eastAsia="Times New Roman" w:cs="Times New Roman" w:ascii="Times New Roman" w:hAnsi="Times New Roman"/>
                <w:kern w:val="0"/>
                <w:sz w:val="20"/>
                <w:szCs w:val="22"/>
                <w:lang w:eastAsia="en-US" w:bidi="ar-SA"/>
              </w:rPr>
              <w:t>, definite conform art. 67;</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7"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3</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spacing w:val="-2"/>
                <w:kern w:val="0"/>
                <w:sz w:val="20"/>
                <w:szCs w:val="22"/>
                <w:lang w:eastAsia="en-US" w:bidi="ar-SA"/>
              </w:rPr>
              <w:t>Venituri din drepturi de proprietate intelectuală</w:t>
            </w:r>
            <w:r>
              <w:rPr>
                <w:rStyle w:val="EndnoteAnchor"/>
                <w:rFonts w:eastAsia="Times New Roman" w:cs="Times New Roman" w:ascii="Times New Roman" w:hAnsi="Times New Roman"/>
                <w:spacing w:val="-2"/>
                <w:kern w:val="0"/>
                <w:sz w:val="20"/>
                <w:szCs w:val="22"/>
                <w:vertAlign w:val="superscript"/>
                <w:lang w:eastAsia="en-US" w:bidi="ar-SA"/>
              </w:rPr>
              <w:endnoteReference w:id="4"/>
            </w:r>
            <w:r>
              <w:rPr>
                <w:rFonts w:eastAsia="Times New Roman" w:cs="Times New Roman" w:ascii="Times New Roman" w:hAnsi="Times New Roman"/>
                <w:spacing w:val="-2"/>
                <w:kern w:val="0"/>
                <w:sz w:val="20"/>
                <w:szCs w:val="22"/>
                <w:lang w:eastAsia="en-US" w:bidi="ar-SA"/>
              </w:rPr>
              <w:t>, definite potrivit art. 70;</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3"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4</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cedarea folosinţei bunurilor</w:t>
            </w:r>
            <w:r>
              <w:rPr>
                <w:rStyle w:val="EndnoteAnchor"/>
                <w:rFonts w:eastAsia="Times New Roman" w:cs="Times New Roman" w:ascii="Times New Roman" w:hAnsi="Times New Roman"/>
                <w:kern w:val="0"/>
                <w:sz w:val="20"/>
                <w:szCs w:val="22"/>
                <w:vertAlign w:val="superscript"/>
                <w:lang w:eastAsia="en-US" w:bidi="ar-SA"/>
              </w:rPr>
              <w:endnoteReference w:id="5"/>
            </w:r>
            <w:r>
              <w:rPr>
                <w:rFonts w:eastAsia="Times New Roman" w:cs="Times New Roman" w:ascii="Times New Roman" w:hAnsi="Times New Roman"/>
                <w:kern w:val="0"/>
                <w:sz w:val="20"/>
                <w:szCs w:val="22"/>
                <w:lang w:eastAsia="en-US" w:bidi="ar-SA"/>
              </w:rPr>
              <w:t xml:space="preserve"> imobile, definite conform art. 83;</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8"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5</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cedarea folosinţei ternurilor,</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3"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6</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pensii</w:t>
            </w:r>
            <w:r>
              <w:rPr>
                <w:rStyle w:val="EndnoteAnchor"/>
                <w:rFonts w:eastAsia="Times New Roman" w:cs="Times New Roman" w:ascii="Times New Roman" w:hAnsi="Times New Roman"/>
                <w:kern w:val="0"/>
                <w:sz w:val="20"/>
                <w:szCs w:val="22"/>
                <w:vertAlign w:val="superscript"/>
                <w:lang w:eastAsia="en-US" w:bidi="ar-SA"/>
              </w:rPr>
              <w:endnoteReference w:id="6"/>
            </w:r>
            <w:r>
              <w:rPr>
                <w:rFonts w:eastAsia="Times New Roman" w:cs="Times New Roman" w:ascii="Times New Roman" w:hAnsi="Times New Roman"/>
                <w:kern w:val="0"/>
                <w:sz w:val="20"/>
                <w:szCs w:val="22"/>
                <w:lang w:eastAsia="en-US" w:bidi="ar-SA"/>
              </w:rPr>
              <w:t>, definite conform art. 99;</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7"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7</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both"/>
              <w:rPr>
                <w:rFonts w:ascii="Times New Roman" w:hAnsi="Times New Roman" w:eastAsia="Times New Roman" w:cs="Times New Roman"/>
                <w:sz w:val="20"/>
              </w:rPr>
            </w:pPr>
            <w:r>
              <w:rPr>
                <w:rFonts w:eastAsia="Times New Roman" w:cs="Times New Roman" w:ascii="Times New Roman" w:hAnsi="Times New Roman"/>
                <w:spacing w:val="-2"/>
                <w:kern w:val="0"/>
                <w:sz w:val="20"/>
                <w:szCs w:val="22"/>
                <w:lang w:eastAsia="en-US" w:bidi="ar-SA"/>
              </w:rPr>
              <w:t>venituri din activităţi agricole, silvicultură şi piscicultură</w:t>
            </w:r>
            <w:r>
              <w:rPr>
                <w:rStyle w:val="EndnoteAnchor"/>
                <w:rFonts w:eastAsia="Times New Roman" w:cs="Times New Roman" w:ascii="Times New Roman" w:hAnsi="Times New Roman"/>
                <w:spacing w:val="-2"/>
                <w:kern w:val="0"/>
                <w:sz w:val="20"/>
                <w:szCs w:val="22"/>
                <w:vertAlign w:val="superscript"/>
                <w:lang w:eastAsia="en-US" w:bidi="ar-SA"/>
              </w:rPr>
              <w:endnoteReference w:id="7"/>
            </w:r>
            <w:r>
              <w:rPr>
                <w:rFonts w:eastAsia="Times New Roman" w:cs="Times New Roman" w:ascii="Times New Roman" w:hAnsi="Times New Roman"/>
                <w:spacing w:val="-2"/>
                <w:kern w:val="0"/>
                <w:sz w:val="20"/>
                <w:szCs w:val="22"/>
                <w:lang w:eastAsia="en-US" w:bidi="ar-SA"/>
              </w:rPr>
              <w:t>, definite conform art. 103;</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8"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7" w:before="0" w:after="0"/>
              <w:ind w:left="23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8</w:t>
            </w:r>
          </w:p>
        </w:tc>
        <w:tc>
          <w:tcPr>
            <w:tcW w:w="3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Alte</w:t>
            </w:r>
            <w:r>
              <w:rPr>
                <w:rFonts w:eastAsia="Times New Roman" w:cs="Times New Roman" w:ascii="Times New Roman" w:hAnsi="Times New Roman"/>
                <w:spacing w:val="-10"/>
                <w:kern w:val="0"/>
                <w:sz w:val="20"/>
                <w:szCs w:val="22"/>
                <w:lang w:eastAsia="en-US" w:bidi="ar-SA"/>
              </w:rPr>
              <w:t xml:space="preserve"> </w:t>
            </w:r>
            <w:r>
              <w:rPr>
                <w:rFonts w:eastAsia="Times New Roman" w:cs="Times New Roman" w:ascii="Times New Roman" w:hAnsi="Times New Roman"/>
                <w:kern w:val="0"/>
                <w:sz w:val="20"/>
                <w:szCs w:val="22"/>
                <w:lang w:eastAsia="en-US" w:bidi="ar-SA"/>
              </w:rPr>
              <w:t>venituri</w:t>
            </w:r>
            <w:r>
              <w:rPr>
                <w:rFonts w:eastAsia="Times New Roman" w:cs="Times New Roman" w:ascii="Times New Roman" w:hAnsi="Times New Roman"/>
                <w:spacing w:val="-9"/>
                <w:kern w:val="0"/>
                <w:sz w:val="20"/>
                <w:szCs w:val="22"/>
                <w:lang w:eastAsia="en-US" w:bidi="ar-SA"/>
              </w:rPr>
              <w:t xml:space="preserve"> </w:t>
            </w:r>
            <w:r>
              <w:rPr>
                <w:rFonts w:eastAsia="Times New Roman" w:cs="Times New Roman" w:ascii="Times New Roman" w:hAnsi="Times New Roman"/>
                <w:kern w:val="0"/>
                <w:sz w:val="20"/>
                <w:szCs w:val="22"/>
                <w:lang w:eastAsia="en-US" w:bidi="ar-SA"/>
              </w:rPr>
              <w:t>cu</w:t>
            </w:r>
            <w:r>
              <w:rPr>
                <w:rFonts w:eastAsia="Times New Roman" w:cs="Times New Roman" w:ascii="Times New Roman" w:hAnsi="Times New Roman"/>
                <w:spacing w:val="-10"/>
                <w:kern w:val="0"/>
                <w:sz w:val="20"/>
                <w:szCs w:val="22"/>
                <w:lang w:eastAsia="en-US" w:bidi="ar-SA"/>
              </w:rPr>
              <w:t xml:space="preserve"> </w:t>
            </w:r>
            <w:r>
              <w:rPr>
                <w:rFonts w:eastAsia="Times New Roman" w:cs="Times New Roman" w:ascii="Times New Roman" w:hAnsi="Times New Roman"/>
                <w:kern w:val="0"/>
                <w:sz w:val="20"/>
                <w:szCs w:val="22"/>
                <w:lang w:eastAsia="en-US" w:bidi="ar-SA"/>
              </w:rPr>
              <w:t>caracter</w:t>
            </w:r>
            <w:r>
              <w:rPr>
                <w:rFonts w:eastAsia="Times New Roman" w:cs="Times New Roman" w:ascii="Times New Roman" w:hAnsi="Times New Roman"/>
                <w:spacing w:val="-9"/>
                <w:kern w:val="0"/>
                <w:sz w:val="20"/>
                <w:szCs w:val="22"/>
                <w:lang w:eastAsia="en-US" w:bidi="ar-SA"/>
              </w:rPr>
              <w:t xml:space="preserve"> </w:t>
            </w:r>
            <w:r>
              <w:rPr>
                <w:rFonts w:eastAsia="Times New Roman" w:cs="Times New Roman" w:ascii="Times New Roman" w:hAnsi="Times New Roman"/>
                <w:spacing w:val="-2"/>
                <w:kern w:val="0"/>
                <w:sz w:val="20"/>
                <w:szCs w:val="22"/>
                <w:lang w:eastAsia="en-US" w:bidi="ar-SA"/>
              </w:rPr>
              <w:t>permanent</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3"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Venitul net realizat de toți membrii familiei în ultimele 12 luni este de:</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3"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Numărul total al membrilor familiei:</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r>
        <w:trPr>
          <w:trHeight w:val="277"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Venitul mediu net lunar pe membru de familie este de:</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sz w:val="20"/>
              </w:rPr>
            </w:r>
          </w:p>
        </w:tc>
      </w:tr>
    </w:tbl>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pPr>
        <w:pStyle w:val="Normal"/>
        <w:widowControl w:val="false"/>
        <w:spacing w:before="0" w:after="0"/>
        <w:ind w:left="317" w:right="348" w:firstLine="360"/>
        <w:jc w:val="both"/>
        <w:rPr>
          <w:rFonts w:ascii="Times New Roman" w:hAnsi="Times New Roman" w:eastAsia="Times New Roman" w:cs="Times New Roman"/>
        </w:rPr>
      </w:pPr>
      <w:r>
        <w:rPr>
          <w:rFonts w:eastAsia="Times New Roman" w:cs="Times New Roman" w:ascii="Times New Roman" w:hAnsi="Times New Roman"/>
        </w:rPr>
        <w:t>Declar pe proprie răspundere că informațiile de mai sus, declarațiile și actele doveditoare anexate corespund realității și iau la cunoștință că în caz contrar voi pierde dreptul la bursă pe toată perioada care urmează și voi suporta consecințele legale în vigoare (pentru fals și uz de fals).</w:t>
      </w:r>
    </w:p>
    <w:p>
      <w:pPr>
        <w:pStyle w:val="Normal"/>
        <w:widowControl w:val="false"/>
        <w:spacing w:before="0" w:after="0"/>
        <w:ind w:left="317" w:right="350" w:firstLine="360"/>
        <w:jc w:val="both"/>
        <w:rPr>
          <w:rFonts w:ascii="Times New Roman" w:hAnsi="Times New Roman" w:eastAsia="Times New Roman" w:cs="Times New Roman"/>
        </w:rPr>
      </w:pPr>
      <w:r>
        <w:rPr>
          <w:rFonts w:eastAsia="Times New Roman" w:cs="Times New Roman" w:ascii="Times New Roman" w:hAnsi="Times New Roman"/>
        </w:rPr>
        <w:t>Am fost informat că datele cu caracter personal sunt prelucrate în scopul și pentru îndeplinirea atribuțiilor legale ale instituției.</w:t>
      </w:r>
    </w:p>
    <w:p>
      <w:pPr>
        <w:pStyle w:val="Normal"/>
        <w:widowControl w:val="false"/>
        <w:spacing w:before="1" w:after="0"/>
        <w:ind w:left="317" w:right="344" w:firstLine="360"/>
        <w:jc w:val="both"/>
        <w:rPr>
          <w:rFonts w:ascii="Times New Roman" w:hAnsi="Times New Roman" w:eastAsia="Times New Roman" w:cs="Times New Roman"/>
        </w:rPr>
      </w:pPr>
      <w:r>
        <w:rPr>
          <w:rFonts w:eastAsia="Times New Roman" w:cs="Times New Roman" w:ascii="Times New Roman" w:hAnsi="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rPr>
      </w:pPr>
      <w:r>
        <w:rPr>
          <w:rFonts w:eastAsia="Times New Roman" w:cs="Times New Roman" w:ascii="Times New Roman" w:hAnsi="Times New Roman"/>
          <w:sz w:val="24"/>
        </w:rPr>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u w:val="single"/>
        </w:rPr>
      </w:pPr>
      <w:r>
        <w:rPr>
          <w:rFonts w:eastAsia="Times New Roman" w:cs="Times New Roman" w:ascii="Times New Roman" w:hAnsi="Times New Roman"/>
          <w:sz w:val="24"/>
        </w:rPr>
        <w:t xml:space="preserve">Data </w:t>
      </w:r>
      <w:r>
        <w:rPr>
          <w:rFonts w:eastAsia="Times New Roman" w:cs="Times New Roman" w:ascii="Times New Roman" w:hAnsi="Times New Roman"/>
          <w:sz w:val="24"/>
          <w:u w:val="single"/>
        </w:rPr>
        <w:tab/>
      </w:r>
      <w:r>
        <w:rPr>
          <w:rFonts w:eastAsia="Times New Roman" w:cs="Times New Roman" w:ascii="Times New Roman" w:hAnsi="Times New Roman"/>
          <w:sz w:val="24"/>
        </w:rPr>
        <w:tab/>
        <w:t xml:space="preserve">Semnătura </w:t>
      </w:r>
      <w:r>
        <w:rPr>
          <w:rFonts w:eastAsia="Times New Roman" w:cs="Times New Roman" w:ascii="Times New Roman" w:hAnsi="Times New Roman"/>
          <w:sz w:val="24"/>
          <w:u w:val="single"/>
        </w:rPr>
        <w:tab/>
      </w:r>
    </w:p>
    <w:p>
      <w:pPr>
        <w:pStyle w:val="Normal"/>
        <w:widowControl/>
        <w:bidi w:val="0"/>
        <w:spacing w:lineRule="auto" w:line="276" w:before="0" w:after="200"/>
        <w:jc w:val="left"/>
        <w:rPr/>
      </w:pPr>
      <w:r>
        <w:rPr/>
      </w:r>
    </w:p>
    <w:sectPr>
      <w:headerReference w:type="default" r:id="rId2"/>
      <w:endnotePr>
        <w:numFmt w:val="lowerRoman"/>
      </w:endnotePr>
      <w:type w:val="nextPage"/>
      <w:pgSz w:w="11906" w:h="16838"/>
      <w:pgMar w:left="1440" w:right="567" w:gutter="0" w:header="0" w:top="1440" w:footer="0" w:bottom="851"/>
      <w:pgNumType w:fmt="decimal"/>
      <w:formProt w:val="false"/>
      <w:textDirection w:val="lrTb"/>
      <w:docGrid w:type="default" w:linePitch="360" w:charSpace="4096"/>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
        <w:widowControl w:val="false"/>
        <w:jc w:val="both"/>
        <w:rPr>
          <w:i/>
          <w:i/>
          <w:iCs/>
          <w:sz w:val="18"/>
          <w:szCs w:val="18"/>
        </w:rPr>
      </w:pPr>
      <w:r>
        <w:rPr>
          <w:rStyle w:val="EndnoteCharacters"/>
        </w:rPr>
        <w:endnoteRef/>
      </w:r>
      <w:r>
        <w:rPr>
          <w:sz w:val="18"/>
          <w:szCs w:val="18"/>
        </w:rPr>
        <w:t xml:space="preserve"> </w:t>
      </w:r>
      <w:r>
        <w:rPr>
          <w:b/>
          <w:bCs/>
          <w:i/>
          <w:iCs/>
          <w:sz w:val="18"/>
          <w:szCs w:val="18"/>
        </w:rPr>
        <w:t>Art. 76</w:t>
      </w:r>
      <w:r>
        <w:rPr>
          <w:i/>
          <w:iCs/>
          <w:sz w:val="18"/>
          <w:szCs w:val="18"/>
        </w:rPr>
        <w:t xml:space="preserve"> </w:t>
      </w:r>
      <w:r>
        <w:rPr>
          <w:b/>
          <w:bCs/>
          <w:i/>
          <w:iCs/>
          <w:sz w:val="18"/>
          <w:szCs w:val="18"/>
        </w:rPr>
        <w:t>Definirea veniturilor din salarii şi asimilate salariilor</w:t>
      </w:r>
    </w:p>
    <w:p>
      <w:pPr>
        <w:pStyle w:val="Endnote"/>
        <w:widowControl w:val="false"/>
        <w:jc w:val="both"/>
        <w:rPr>
          <w:i/>
          <w:i/>
          <w:iCs/>
          <w:sz w:val="18"/>
          <w:szCs w:val="18"/>
        </w:rPr>
      </w:pPr>
      <w:r>
        <w:rPr>
          <w:i/>
          <w:iCs/>
          <w:sz w:val="18"/>
          <w:szCs w:val="18"/>
        </w:rPr>
        <w:t xml:space="preserve">(1)Sunt considerate venituri din </w:t>
      </w:r>
      <w:r>
        <w:rPr>
          <w:b/>
          <w:bCs/>
          <w:i/>
          <w:iCs/>
          <w:sz w:val="18"/>
          <w:szCs w:val="18"/>
        </w:rPr>
        <w:t>salarii</w:t>
      </w:r>
      <w:r>
        <w:rPr>
          <w:i/>
          <w:iCs/>
          <w:sz w:val="18"/>
          <w:szCs w:val="18"/>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3">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67</w:t>
      </w:r>
      <w:r>
        <w:rPr>
          <w:i/>
          <w:iCs/>
          <w:sz w:val="18"/>
          <w:szCs w:val="18"/>
        </w:rPr>
        <w:t xml:space="preserve"> Definirea veniturilor din activităţi </w:t>
      </w:r>
      <w:r>
        <w:rPr>
          <w:b/>
          <w:bCs/>
          <w:i/>
          <w:iCs/>
          <w:sz w:val="18"/>
          <w:szCs w:val="18"/>
        </w:rPr>
        <w:t>independente</w:t>
      </w:r>
    </w:p>
    <w:p>
      <w:pPr>
        <w:pStyle w:val="Endnote"/>
        <w:widowControl w:val="false"/>
        <w:jc w:val="both"/>
        <w:rPr>
          <w:i/>
          <w:i/>
          <w:iCs/>
          <w:sz w:val="18"/>
          <w:szCs w:val="18"/>
        </w:rPr>
      </w:pPr>
      <w:r>
        <w:rPr>
          <w:i/>
          <w:iCs/>
          <w:sz w:val="18"/>
          <w:szCs w:val="18"/>
        </w:rPr>
        <w:t>(1)</w:t>
        <w:tab/>
        <w:t>Veniturile din activităţi independente cuprind veniturile din activităţi de producţie, comerţ, prestări de servicii şi veniturile din profesii liberale, realizate în mod individual şi/sau într-o formă de asociere, inclusiv din activităţi adiacente.</w:t>
      </w:r>
    </w:p>
    <w:p>
      <w:pPr>
        <w:pStyle w:val="Endnote"/>
        <w:widowControl w:val="false"/>
        <w:jc w:val="both"/>
        <w:rPr>
          <w:i/>
          <w:i/>
          <w:iCs/>
          <w:sz w:val="18"/>
          <w:szCs w:val="18"/>
        </w:rPr>
      </w:pPr>
      <w:r>
        <w:rPr>
          <w:i/>
          <w:iCs/>
          <w:sz w:val="18"/>
          <w:szCs w:val="18"/>
        </w:rPr>
        <w:t>(2)</w:t>
        <w:tab/>
        <w:t>Constituie venituri din profesii liberale veniturile obţinute din prestarea de servicii cu caracter profesional, potrivit actelor normative speciale care reglementează organizarea şi exercitarea profesiei respective.</w:t>
      </w:r>
    </w:p>
  </w:endnote>
  <w:endnote w:id="4">
    <w:p>
      <w:pPr>
        <w:pStyle w:val="Endnote"/>
        <w:widowControl w:val="false"/>
        <w:jc w:val="both"/>
        <w:rPr>
          <w:b/>
          <w:b/>
          <w:bCs/>
          <w:i/>
          <w:i/>
          <w:iCs/>
          <w:sz w:val="18"/>
          <w:szCs w:val="18"/>
        </w:rPr>
      </w:pPr>
      <w:r>
        <w:rPr>
          <w:rStyle w:val="EndnoteCharacters"/>
        </w:rPr>
        <w:endnoteRef/>
      </w:r>
      <w:r>
        <w:rPr>
          <w:i/>
          <w:iCs/>
          <w:sz w:val="18"/>
          <w:szCs w:val="18"/>
        </w:rPr>
        <w:t xml:space="preserve"> </w:t>
      </w:r>
      <w:r>
        <w:rPr>
          <w:b/>
          <w:bCs/>
          <w:i/>
          <w:iCs/>
          <w:sz w:val="18"/>
          <w:szCs w:val="18"/>
        </w:rPr>
        <w:t>Art. 70:</w:t>
      </w:r>
      <w:r>
        <w:rPr>
          <w:i/>
          <w:iCs/>
          <w:sz w:val="18"/>
          <w:szCs w:val="18"/>
        </w:rPr>
        <w:t xml:space="preserve"> Definirea veniturilor din drepturi de </w:t>
      </w:r>
      <w:r>
        <w:rPr>
          <w:b/>
          <w:bCs/>
          <w:i/>
          <w:iCs/>
          <w:sz w:val="18"/>
          <w:szCs w:val="18"/>
        </w:rPr>
        <w:t>proprietate intelectuală</w:t>
      </w:r>
    </w:p>
    <w:p>
      <w:pPr>
        <w:pStyle w:val="Endnote"/>
        <w:widowControl w:val="false"/>
        <w:jc w:val="both"/>
        <w:rPr>
          <w:i/>
          <w:i/>
          <w:iCs/>
          <w:sz w:val="18"/>
          <w:szCs w:val="18"/>
        </w:rPr>
      </w:pPr>
      <w:r>
        <w:rPr>
          <w:i/>
          <w:iCs/>
          <w:sz w:val="18"/>
          <w:szCs w:val="18"/>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5">
    <w:p>
      <w:pPr>
        <w:pStyle w:val="Endnote"/>
        <w:widowControl w:val="false"/>
        <w:jc w:val="both"/>
        <w:rPr>
          <w:b/>
          <w:b/>
          <w:bCs/>
          <w:i/>
          <w:i/>
          <w:iCs/>
          <w:sz w:val="18"/>
          <w:szCs w:val="18"/>
        </w:rPr>
      </w:pPr>
      <w:r>
        <w:rPr>
          <w:rStyle w:val="EndnoteCharacters"/>
        </w:rPr>
        <w:endnoteRef/>
      </w:r>
      <w:r>
        <w:rPr>
          <w:i/>
          <w:iCs/>
          <w:sz w:val="18"/>
          <w:szCs w:val="18"/>
        </w:rPr>
        <w:t xml:space="preserve"> </w:t>
      </w:r>
      <w:r>
        <w:rPr>
          <w:b/>
          <w:bCs/>
          <w:i/>
          <w:iCs/>
          <w:sz w:val="18"/>
          <w:szCs w:val="18"/>
        </w:rPr>
        <w:t>Art. 83</w:t>
      </w:r>
      <w:r>
        <w:rPr>
          <w:i/>
          <w:iCs/>
          <w:sz w:val="18"/>
          <w:szCs w:val="18"/>
        </w:rPr>
        <w:t xml:space="preserve">: Definirea </w:t>
      </w:r>
      <w:r>
        <w:rPr>
          <w:b/>
          <w:bCs/>
          <w:i/>
          <w:iCs/>
          <w:sz w:val="18"/>
          <w:szCs w:val="18"/>
        </w:rPr>
        <w:t>veniturilor impozabile din cedarea folosinţei bunurilor</w:t>
      </w:r>
    </w:p>
    <w:p>
      <w:pPr>
        <w:pStyle w:val="Endnote"/>
        <w:widowControl w:val="false"/>
        <w:jc w:val="both"/>
        <w:rPr>
          <w:i/>
          <w:i/>
          <w:iCs/>
          <w:sz w:val="18"/>
          <w:szCs w:val="18"/>
        </w:rPr>
      </w:pPr>
      <w:r>
        <w:rPr>
          <w:i/>
          <w:iCs/>
          <w:sz w:val="18"/>
          <w:szCs w:val="18"/>
        </w:rPr>
        <w:t>(1)</w:t>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pPr>
        <w:pStyle w:val="Endnote"/>
        <w:widowControl w:val="false"/>
        <w:jc w:val="both"/>
        <w:rPr>
          <w:i/>
          <w:i/>
          <w:iCs/>
          <w:sz w:val="18"/>
          <w:szCs w:val="18"/>
        </w:rPr>
      </w:pPr>
      <w:r>
        <w:rPr>
          <w:i/>
          <w:iCs/>
          <w:sz w:val="18"/>
          <w:szCs w:val="18"/>
        </w:rPr>
        <w:t>(2)</w:t>
        <w:tab/>
        <w:t xml:space="preserve">Persoanele fizice care realizează venituri din cedarea folosinţei bunurilor </w:t>
      </w:r>
      <w:r>
        <w:rPr>
          <w:b/>
          <w:bCs/>
          <w:i/>
          <w:iCs/>
          <w:sz w:val="18"/>
          <w:szCs w:val="18"/>
        </w:rPr>
        <w:t>din derularea unui număr mai mare de 5</w:t>
      </w:r>
      <w:r>
        <w:rPr>
          <w:i/>
          <w:iCs/>
          <w:sz w:val="18"/>
          <w:szCs w:val="18"/>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pPr>
        <w:pStyle w:val="Endnote"/>
        <w:widowControl w:val="false"/>
        <w:jc w:val="both"/>
        <w:rPr>
          <w:i/>
          <w:i/>
          <w:iCs/>
          <w:sz w:val="18"/>
          <w:szCs w:val="18"/>
        </w:rPr>
      </w:pPr>
      <w:r>
        <w:rPr>
          <w:i/>
          <w:iCs/>
          <w:sz w:val="18"/>
          <w:szCs w:val="18"/>
        </w:rPr>
        <w:t>(21)</w:t>
        <w:tab/>
        <w:t xml:space="preserve">Sunt considerate venituri din cedarea folosinţei bunurilor şi veniturile obţinute de către proprietar din închirierea în </w:t>
      </w:r>
      <w:r>
        <w:rPr>
          <w:b/>
          <w:bCs/>
          <w:i/>
          <w:iCs/>
          <w:sz w:val="18"/>
          <w:szCs w:val="18"/>
        </w:rPr>
        <w:t>scop turistic a camerelor situate în locuinţe proprietate personală,</w:t>
      </w:r>
      <w:r>
        <w:rPr>
          <w:i/>
          <w:iCs/>
          <w:sz w:val="18"/>
          <w:szCs w:val="18"/>
        </w:rPr>
        <w:t xml:space="preserve"> indiferent de numărul de locuinţe în care sunt situate acestea.</w:t>
      </w:r>
    </w:p>
    <w:p>
      <w:pPr>
        <w:pStyle w:val="Endnote"/>
        <w:widowControl w:val="false"/>
        <w:jc w:val="both"/>
        <w:rPr>
          <w:i/>
          <w:i/>
          <w:iCs/>
          <w:sz w:val="18"/>
          <w:szCs w:val="18"/>
        </w:rPr>
      </w:pPr>
      <w:r>
        <w:rPr>
          <w:i/>
          <w:iCs/>
          <w:sz w:val="18"/>
          <w:szCs w:val="18"/>
        </w:rPr>
        <w:t>(3)</w:t>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pPr>
        <w:pStyle w:val="Endnote"/>
        <w:widowControl w:val="false"/>
        <w:jc w:val="both"/>
        <w:rPr>
          <w:i/>
          <w:i/>
          <w:iCs/>
          <w:sz w:val="18"/>
          <w:szCs w:val="18"/>
        </w:rPr>
      </w:pPr>
      <w:r>
        <w:rPr>
          <w:i/>
          <w:iCs/>
          <w:sz w:val="18"/>
          <w:szCs w:val="18"/>
        </w:rPr>
        <w:t>(4)</w:t>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pPr>
        <w:pStyle w:val="Endnote"/>
        <w:widowControl w:val="false"/>
        <w:jc w:val="both"/>
        <w:rPr>
          <w:i/>
          <w:i/>
          <w:iCs/>
          <w:sz w:val="18"/>
          <w:szCs w:val="18"/>
        </w:rPr>
      </w:pPr>
      <w:r>
        <w:rPr>
          <w:i/>
          <w:iCs/>
          <w:sz w:val="18"/>
          <w:szCs w:val="18"/>
        </w:rPr>
        <w:t>(5)</w:t>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6">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99:</w:t>
      </w:r>
      <w:r>
        <w:rPr>
          <w:i/>
          <w:iCs/>
          <w:sz w:val="18"/>
          <w:szCs w:val="18"/>
        </w:rPr>
        <w:t xml:space="preserve"> </w:t>
      </w:r>
      <w:r>
        <w:rPr>
          <w:b/>
          <w:bCs/>
          <w:i/>
          <w:iCs/>
          <w:sz w:val="18"/>
          <w:szCs w:val="18"/>
        </w:rPr>
        <w:t>Definirea veniturilor din pensii</w:t>
      </w:r>
    </w:p>
    <w:p>
      <w:pPr>
        <w:pStyle w:val="Endnote"/>
        <w:widowControl w:val="false"/>
        <w:jc w:val="both"/>
        <w:rPr>
          <w:i/>
          <w:i/>
          <w:iCs/>
          <w:sz w:val="18"/>
          <w:szCs w:val="18"/>
        </w:rPr>
      </w:pPr>
      <w:r>
        <w:rPr>
          <w:i/>
          <w:iCs/>
          <w:sz w:val="18"/>
          <w:szCs w:val="18"/>
        </w:rPr>
        <w:t>(1)</w:t>
        <w:tab/>
        <w:t xml:space="preserve">Veniturile din pensii reprezintă sume primite ca pensii de la fondurile înfiinţate din </w:t>
      </w:r>
      <w:r>
        <w:rPr>
          <w:b/>
          <w:bCs/>
          <w:i/>
          <w:iCs/>
          <w:sz w:val="18"/>
          <w:szCs w:val="18"/>
        </w:rPr>
        <w:t>contribuţiile sociale obligatorii</w:t>
      </w:r>
      <w:r>
        <w:rPr>
          <w:i/>
          <w:iCs/>
          <w:sz w:val="18"/>
          <w:szCs w:val="18"/>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pPr>
        <w:pStyle w:val="Endnote"/>
        <w:widowControl w:val="false"/>
        <w:jc w:val="both"/>
        <w:rPr>
          <w:i/>
          <w:i/>
          <w:iCs/>
          <w:sz w:val="18"/>
          <w:szCs w:val="18"/>
        </w:rPr>
      </w:pPr>
      <w:r>
        <w:rPr>
          <w:i/>
          <w:iCs/>
          <w:sz w:val="18"/>
          <w:szCs w:val="18"/>
        </w:rPr>
        <w:t>(2)</w:t>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7">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103: Definirea veniturilor</w:t>
      </w:r>
    </w:p>
    <w:p>
      <w:pPr>
        <w:pStyle w:val="Endnote"/>
        <w:widowControl w:val="false"/>
        <w:jc w:val="both"/>
        <w:rPr>
          <w:i/>
          <w:i/>
          <w:iCs/>
          <w:sz w:val="18"/>
          <w:szCs w:val="18"/>
        </w:rPr>
      </w:pPr>
      <w:r>
        <w:rPr>
          <w:i/>
          <w:iCs/>
          <w:sz w:val="18"/>
          <w:szCs w:val="18"/>
        </w:rPr>
        <w:t>(1)</w:t>
        <w:tab/>
        <w:t>Veniturile din activităţi agricole cuprind veniturile obţinute individual sau într-o formă de asociere, fără personalitate juridică, din:</w:t>
      </w:r>
    </w:p>
    <w:p>
      <w:pPr>
        <w:pStyle w:val="Endnote"/>
        <w:widowControl w:val="false"/>
        <w:jc w:val="both"/>
        <w:rPr>
          <w:i/>
          <w:i/>
          <w:iCs/>
          <w:sz w:val="18"/>
          <w:szCs w:val="18"/>
        </w:rPr>
      </w:pPr>
      <w:r>
        <w:rPr>
          <w:i/>
          <w:iCs/>
          <w:sz w:val="18"/>
          <w:szCs w:val="18"/>
        </w:rPr>
        <w:t>a)</w:t>
        <w:tab/>
        <w:t>cultivarea produselor agricole vegetale, precum şi prelucrarea, procesarea şi valorificarea lor în stare naturală;</w:t>
      </w:r>
    </w:p>
    <w:p>
      <w:pPr>
        <w:pStyle w:val="Endnote"/>
        <w:widowControl w:val="false"/>
        <w:jc w:val="both"/>
        <w:rPr>
          <w:i/>
          <w:i/>
          <w:iCs/>
          <w:sz w:val="18"/>
          <w:szCs w:val="18"/>
        </w:rPr>
      </w:pPr>
      <w:r>
        <w:rPr>
          <w:i/>
          <w:iCs/>
          <w:sz w:val="18"/>
          <w:szCs w:val="18"/>
        </w:rPr>
        <w:t>b)</w:t>
        <w:tab/>
        <w:t>exploatarea plantaţiilor viticole, pomicole, arbuştilor fructiferi şi altele asemenea;</w:t>
      </w:r>
    </w:p>
    <w:p>
      <w:pPr>
        <w:pStyle w:val="Endnote"/>
        <w:widowControl w:val="false"/>
        <w:jc w:val="both"/>
        <w:rPr>
          <w:i/>
          <w:i/>
          <w:iCs/>
          <w:sz w:val="18"/>
          <w:szCs w:val="18"/>
        </w:rPr>
      </w:pPr>
      <w:r>
        <w:rPr>
          <w:i/>
          <w:iCs/>
          <w:sz w:val="18"/>
          <w:szCs w:val="18"/>
        </w:rPr>
        <w:t>c)</w:t>
        <w:tab/>
        <w:t>creşterea şi exploatarea animalelor, inclusiv din valorificarea produselor de origine animală, în stare naturală.</w:t>
      </w:r>
    </w:p>
    <w:p>
      <w:pPr>
        <w:pStyle w:val="Endnote"/>
        <w:widowControl w:val="false"/>
        <w:jc w:val="both"/>
        <w:rPr>
          <w:i/>
          <w:i/>
          <w:iCs/>
          <w:sz w:val="18"/>
          <w:szCs w:val="18"/>
        </w:rPr>
      </w:pPr>
      <w:r>
        <w:rPr>
          <w:i/>
          <w:iCs/>
          <w:sz w:val="18"/>
          <w:szCs w:val="18"/>
        </w:rPr>
        <w:t>(2)</w:t>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Times New Roman">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ind w:left="-1440" w:hanging="0"/>
      <w:rPr/>
    </w:pPr>
    <w:r>
      <w:rPr/>
      <w:drawing>
        <wp:inline distT="0" distB="0" distL="0" distR="0">
          <wp:extent cx="7574280" cy="1261745"/>
          <wp:effectExtent l="0" t="0" r="0" b="0"/>
          <wp:docPr id="1" name="Imagine 20224189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2022418912" descr=""/>
                  <pic:cNvPicPr>
                    <a:picLocks noChangeAspect="1" noChangeArrowheads="1"/>
                  </pic:cNvPicPr>
                </pic:nvPicPr>
                <pic:blipFill>
                  <a:blip r:embed="rId1"/>
                  <a:stretch>
                    <a:fillRect/>
                  </a:stretch>
                </pic:blipFill>
                <pic:spPr bwMode="auto">
                  <a:xfrm>
                    <a:off x="0" y="0"/>
                    <a:ext cx="7574280" cy="1261745"/>
                  </a:xfrm>
                  <a:prstGeom prst="rect">
                    <a:avLst/>
                  </a:prstGeom>
                </pic:spPr>
              </pic:pic>
            </a:graphicData>
          </a:graphic>
        </wp:inline>
      </w:drawing>
    </w:r>
  </w:p>
</w:hdr>
</file>

<file path=word/settings.xml><?xml version="1.0" encoding="utf-8"?>
<w:settings xmlns:w="http://schemas.openxmlformats.org/wordprocessingml/2006/main">
  <w:zoom w:percent="170"/>
  <w:defaultTabStop w:val="720"/>
  <w:autoHyphenation w:val="true"/>
  <w:endnotePr>
    <w:numFmt w:val="lowerRoman"/>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38ac"/>
    <w:pPr>
      <w:widowControl/>
      <w:suppressAutoHyphens w:val="true"/>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f93990"/>
    <w:rPr/>
  </w:style>
  <w:style w:type="character" w:styleId="SubsolCaracter" w:customStyle="1">
    <w:name w:val="Subsol Caracter"/>
    <w:basedOn w:val="DefaultParagraphFont"/>
    <w:link w:val="Footer"/>
    <w:uiPriority w:val="99"/>
    <w:qFormat/>
    <w:rsid w:val="00f93990"/>
    <w:rPr/>
  </w:style>
  <w:style w:type="character" w:styleId="TextnBalonCaracter" w:customStyle="1">
    <w:name w:val="Text în Balon Caracter"/>
    <w:basedOn w:val="DefaultParagraphFont"/>
    <w:link w:val="BalloonText"/>
    <w:uiPriority w:val="99"/>
    <w:semiHidden/>
    <w:qFormat/>
    <w:rsid w:val="00f93990"/>
    <w:rPr>
      <w:rFonts w:ascii="Tahoma" w:hAnsi="Tahoma" w:cs="Tahoma"/>
      <w:sz w:val="16"/>
      <w:szCs w:val="16"/>
    </w:rPr>
  </w:style>
  <w:style w:type="character" w:styleId="PreformatatHTMLCaracter" w:customStyle="1">
    <w:name w:val="Preformatat HTML Caracter"/>
    <w:basedOn w:val="DefaultParagraphFont"/>
    <w:link w:val="HTMLPreformatted"/>
    <w:uiPriority w:val="99"/>
    <w:semiHidden/>
    <w:qFormat/>
    <w:rsid w:val="00f76312"/>
    <w:rPr>
      <w:rFonts w:ascii="Courier New" w:hAnsi="Courier New" w:eastAsia="Times New Roman" w:cs="Courier New"/>
      <w:sz w:val="20"/>
      <w:szCs w:val="20"/>
    </w:rPr>
  </w:style>
  <w:style w:type="character" w:styleId="InternetLink">
    <w:name w:val="Hyperlink"/>
    <w:basedOn w:val="DefaultParagraphFont"/>
    <w:uiPriority w:val="99"/>
    <w:unhideWhenUsed/>
    <w:rsid w:val="00df3b31"/>
    <w:rPr>
      <w:color w:val="0000FF" w:themeColor="hyperlink"/>
      <w:u w:val="single"/>
    </w:rPr>
  </w:style>
  <w:style w:type="character" w:styleId="UnresolvedMention" w:customStyle="1">
    <w:name w:val="Unresolved Mention"/>
    <w:basedOn w:val="DefaultParagraphFont"/>
    <w:uiPriority w:val="99"/>
    <w:semiHidden/>
    <w:unhideWhenUsed/>
    <w:qFormat/>
    <w:rsid w:val="00df3b31"/>
    <w:rPr>
      <w:color w:val="605E5C"/>
      <w:shd w:fill="E1DFDD" w:val="clear"/>
    </w:rPr>
  </w:style>
  <w:style w:type="character" w:styleId="TextnotdefinalCaracter" w:customStyle="1">
    <w:name w:val="Text notă de final Caracter"/>
    <w:basedOn w:val="DefaultParagraphFont"/>
    <w:link w:val="Endnote"/>
    <w:uiPriority w:val="99"/>
    <w:semiHidden/>
    <w:qFormat/>
    <w:rsid w:val="00652dfe"/>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652dfe"/>
    <w:rPr>
      <w:vertAlign w:val="superscript"/>
    </w:rPr>
  </w:style>
  <w:style w:type="character" w:styleId="EndnoteAnchor">
    <w:name w:val="Endnote Anchor"/>
    <w:rPr>
      <w:vertAlign w:val="superscript"/>
    </w:rPr>
  </w:style>
  <w:style w:type="character" w:styleId="FootnoteAnchor">
    <w:name w:val="Footnote Anchor"/>
    <w:rPr>
      <w:vertAlign w:val="superscript"/>
    </w:rPr>
  </w:style>
  <w:style w:type="character" w:styleId="FootnoteCharacters">
    <w:name w:val="Footnote Character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AntetCaracter"/>
    <w:uiPriority w:val="99"/>
    <w:unhideWhenUsed/>
    <w:rsid w:val="00f93990"/>
    <w:pPr>
      <w:tabs>
        <w:tab w:val="clear" w:pos="720"/>
        <w:tab w:val="center" w:pos="4680" w:leader="none"/>
        <w:tab w:val="right" w:pos="9360" w:leader="none"/>
      </w:tabs>
      <w:spacing w:lineRule="auto" w:line="240" w:before="0" w:after="0"/>
    </w:pPr>
    <w:rPr>
      <w:lang w:val="en-US"/>
    </w:rPr>
  </w:style>
  <w:style w:type="paragraph" w:styleId="Footer">
    <w:name w:val="Footer"/>
    <w:basedOn w:val="Normal"/>
    <w:link w:val="SubsolCaracter"/>
    <w:uiPriority w:val="99"/>
    <w:unhideWhenUsed/>
    <w:rsid w:val="00f93990"/>
    <w:pPr>
      <w:tabs>
        <w:tab w:val="clear" w:pos="720"/>
        <w:tab w:val="center" w:pos="4680" w:leader="none"/>
        <w:tab w:val="right" w:pos="9360" w:leader="none"/>
      </w:tabs>
      <w:spacing w:lineRule="auto" w:line="240" w:before="0" w:after="0"/>
    </w:pPr>
    <w:rPr/>
  </w:style>
  <w:style w:type="paragraph" w:styleId="BalloonText">
    <w:name w:val="Balloon Text"/>
    <w:basedOn w:val="Normal"/>
    <w:link w:val="TextnBalonCaracter"/>
    <w:uiPriority w:val="99"/>
    <w:semiHidden/>
    <w:unhideWhenUsed/>
    <w:qFormat/>
    <w:rsid w:val="00f93990"/>
    <w:pPr>
      <w:spacing w:lineRule="auto" w:line="240" w:before="0" w:after="0"/>
    </w:pPr>
    <w:rPr>
      <w:rFonts w:ascii="Tahoma" w:hAnsi="Tahoma" w:cs="Tahoma"/>
      <w:sz w:val="16"/>
      <w:szCs w:val="16"/>
      <w:lang w:val="en-US"/>
    </w:rPr>
  </w:style>
  <w:style w:type="paragraph" w:styleId="HTMLPreformatted">
    <w:name w:val="HTML Preformatted"/>
    <w:basedOn w:val="Normal"/>
    <w:link w:val="PreformatatHTMLCaracter"/>
    <w:uiPriority w:val="99"/>
    <w:semiHidden/>
    <w:unhideWhenUsed/>
    <w:qFormat/>
    <w:rsid w:val="00f76312"/>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val="en-US"/>
    </w:rPr>
  </w:style>
  <w:style w:type="paragraph" w:styleId="ListParagraph">
    <w:name w:val="List Paragraph"/>
    <w:basedOn w:val="Normal"/>
    <w:uiPriority w:val="34"/>
    <w:qFormat/>
    <w:rsid w:val="006a7380"/>
    <w:pPr>
      <w:spacing w:before="0" w:after="200"/>
      <w:ind w:left="720" w:hanging="0"/>
      <w:contextualSpacing/>
    </w:pPr>
    <w:rPr/>
  </w:style>
  <w:style w:type="paragraph" w:styleId="Endnote">
    <w:name w:val="Endnote Text"/>
    <w:basedOn w:val="Normal"/>
    <w:link w:val="TextnotdefinalCaracter"/>
    <w:uiPriority w:val="99"/>
    <w:semiHidden/>
    <w:unhideWhenUsed/>
    <w:rsid w:val="00652dfe"/>
    <w:pPr>
      <w:widowControl w:val="false"/>
      <w:spacing w:lineRule="auto" w:line="240" w:before="0" w:after="0"/>
    </w:pPr>
    <w:rPr>
      <w:rFonts w:ascii="Times New Roman" w:hAnsi="Times New Roman" w:eastAsia="Times New Roman" w:cs="Times New Roman"/>
      <w:sz w:val="20"/>
      <w:szCs w:val="20"/>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c34f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652dfe"/>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endnotes" Target="endnot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LibreOffice/7.3.7.2$Linux_X86_64 LibreOffice_project/30$Build-2</Application>
  <AppVersion>15.0000</AppVersion>
  <Pages>3</Pages>
  <Words>1105</Words>
  <Characters>6876</Characters>
  <CharactersWithSpaces>7938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2024-09-13T06:52:00Z</dcterms:created>
  <dc:creator>Silvia</dc:creator>
  <dc:description/>
  <dc:language>en-US</dc:language>
  <cp:lastModifiedBy/>
  <cp:lastPrinted>2023-05-05T11:58:00Z</cp:lastPrinted>
  <dcterms:modified xsi:type="dcterms:W3CDTF">2026-10-26T15:26:49Z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